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D74" w:rsidRPr="00874D74" w:rsidRDefault="003A4831" w:rsidP="00874D74">
      <w:pPr>
        <w:rPr>
          <w:rFonts w:ascii="Times New Roman" w:hAnsi="Times New Roman" w:cs="Times New Roman"/>
          <w:b/>
          <w:sz w:val="32"/>
        </w:rPr>
      </w:pPr>
      <w:bookmarkStart w:id="0" w:name="_GoBack"/>
      <w:r w:rsidRPr="00BC548C">
        <w:rPr>
          <w:rFonts w:ascii="Times New Roman" w:hAnsi="Times New Roman" w:cs="Times New Roman"/>
          <w:b/>
          <w:sz w:val="32"/>
        </w:rPr>
        <w:t xml:space="preserve">Phase 3 – </w:t>
      </w:r>
      <w:r w:rsidR="00874D74" w:rsidRPr="00874D74">
        <w:rPr>
          <w:rFonts w:ascii="Times New Roman" w:hAnsi="Times New Roman" w:cs="Times New Roman"/>
          <w:b/>
          <w:sz w:val="32"/>
        </w:rPr>
        <w:t>Konstruktion einstufiger Entscheidungsbäume mit CODAP</w:t>
      </w:r>
    </w:p>
    <w:bookmarkEnd w:id="0"/>
    <w:p w:rsidR="006A5814" w:rsidRPr="006A5814" w:rsidRDefault="006A5814" w:rsidP="006A5814">
      <w:pPr>
        <w:pBdr>
          <w:left w:val="none" w:sz="4" w:space="0" w:color="000000"/>
        </w:pBdr>
        <w:rPr>
          <w:rFonts w:ascii="Times New Roman" w:hAnsi="Times New Roman" w:cs="Times New Roman"/>
          <w:b/>
          <w:sz w:val="32"/>
        </w:rPr>
      </w:pPr>
      <w:r w:rsidRPr="006A5814">
        <w:rPr>
          <w:rFonts w:ascii="Times New Roman" w:hAnsi="Times New Roman" w:cs="Times New Roman"/>
          <w:b/>
          <w:sz w:val="32"/>
        </w:rPr>
        <w:t>Kurzbeschreibung</w:t>
      </w:r>
    </w:p>
    <w:p w:rsidR="00B12EC4" w:rsidRPr="006A5814" w:rsidRDefault="006A5814" w:rsidP="002D6297">
      <w:pPr>
        <w:jc w:val="both"/>
        <w:rPr>
          <w:rFonts w:ascii="Times New Roman" w:hAnsi="Times New Roman" w:cs="Times New Roman"/>
        </w:rPr>
      </w:pPr>
      <w:r w:rsidRPr="006A5814">
        <w:rPr>
          <w:rFonts w:ascii="Times New Roman" w:hAnsi="Times New Roman" w:cs="Times New Roman"/>
        </w:rPr>
        <w:t xml:space="preserve">Die </w:t>
      </w:r>
      <w:proofErr w:type="spellStart"/>
      <w:r w:rsidRPr="006A5814">
        <w:rPr>
          <w:rFonts w:ascii="Times New Roman" w:hAnsi="Times New Roman" w:cs="Times New Roman"/>
        </w:rPr>
        <w:t>SuS</w:t>
      </w:r>
      <w:proofErr w:type="spellEnd"/>
      <w:r w:rsidRPr="006A5814">
        <w:rPr>
          <w:rFonts w:ascii="Times New Roman" w:hAnsi="Times New Roman" w:cs="Times New Roman"/>
        </w:rPr>
        <w:t xml:space="preserve"> übertragen das aus Phase 2 bekannte Vorgehen zur Konstruktion einstufiger Entscheidungsbäume auf die digitale Umgebung CODAP. Die Lehrkraft führt zunächst anhand eines Beispiels in die benötigten Funktionen und Darstellungen ein und stellt dabei jeweils den Bezug zum händischen Vorgehen mit den Datenkarten her; zusätzlich werden die verschiedenen Arten richtiger und falscher Klassifikationen und ihre Darstellung in der Konfusionsmatrix eingeführt. Anschließend erstellen und vergleichen die </w:t>
      </w:r>
      <w:proofErr w:type="spellStart"/>
      <w:r w:rsidRPr="006A5814">
        <w:rPr>
          <w:rFonts w:ascii="Times New Roman" w:hAnsi="Times New Roman" w:cs="Times New Roman"/>
        </w:rPr>
        <w:t>SuS</w:t>
      </w:r>
      <w:proofErr w:type="spellEnd"/>
      <w:r w:rsidRPr="006A5814">
        <w:rPr>
          <w:rFonts w:ascii="Times New Roman" w:hAnsi="Times New Roman" w:cs="Times New Roman"/>
        </w:rPr>
        <w:t xml:space="preserve"> in Partnerarbeit selbstständig weitere einstufige Entscheidungsbäume in CODAP. Damit wird der Umgang mit dem digitalen Werkzeug vorbereitet, das in Phase 4 für die offenere Konstruktion mehrstufiger Entscheidungsbäume genutzt wird.</w:t>
      </w:r>
    </w:p>
    <w:p w:rsidR="003A4831" w:rsidRPr="00BC548C" w:rsidRDefault="003A4831" w:rsidP="003A4831">
      <w:pPr>
        <w:pBdr>
          <w:left w:val="none" w:sz="4" w:space="0" w:color="000000"/>
        </w:pBdr>
        <w:rPr>
          <w:rFonts w:ascii="Times New Roman" w:hAnsi="Times New Roman" w:cs="Times New Roman"/>
          <w:b/>
          <w:sz w:val="32"/>
        </w:rPr>
      </w:pPr>
      <w:r w:rsidRPr="00BC548C">
        <w:rPr>
          <w:rFonts w:ascii="Times New Roman" w:hAnsi="Times New Roman" w:cs="Times New Roman"/>
          <w:b/>
          <w:sz w:val="32"/>
        </w:rPr>
        <w:t>Ziele der Phase:</w:t>
      </w:r>
    </w:p>
    <w:p w:rsidR="003A4831" w:rsidRPr="00BC548C" w:rsidRDefault="003A4831" w:rsidP="003A4831">
      <w:pPr>
        <w:rPr>
          <w:rFonts w:ascii="Times New Roman" w:hAnsi="Times New Roman" w:cs="Times New Roman"/>
          <w:b/>
        </w:rPr>
      </w:pPr>
      <w:r w:rsidRPr="00BC548C">
        <w:rPr>
          <w:rFonts w:ascii="Times New Roman" w:hAnsi="Times New Roman" w:cs="Times New Roman"/>
          <w:b/>
        </w:rPr>
        <w:t>Lernziele in Bezug auf datenbasierte Entscheidungsbäume</w:t>
      </w:r>
    </w:p>
    <w:p w:rsidR="003A4831" w:rsidRPr="00BC548C" w:rsidRDefault="003A4831" w:rsidP="003A4831">
      <w:pPr>
        <w:rPr>
          <w:rFonts w:ascii="Times New Roman" w:hAnsi="Times New Roman" w:cs="Times New Roman"/>
        </w:rPr>
      </w:pPr>
      <w:r w:rsidRPr="00BC548C">
        <w:rPr>
          <w:rFonts w:ascii="Times New Roman" w:hAnsi="Times New Roman" w:cs="Times New Roman"/>
        </w:rPr>
        <w:t xml:space="preserve">Die </w:t>
      </w:r>
      <w:proofErr w:type="spellStart"/>
      <w:r w:rsidRPr="00BC548C">
        <w:rPr>
          <w:rFonts w:ascii="Times New Roman" w:hAnsi="Times New Roman" w:cs="Times New Roman"/>
        </w:rPr>
        <w:t>SuS</w:t>
      </w:r>
      <w:proofErr w:type="spellEnd"/>
    </w:p>
    <w:p w:rsidR="00AD05C6" w:rsidRPr="005141D2" w:rsidRDefault="00AD05C6" w:rsidP="00AD05C6">
      <w:pPr>
        <w:rPr>
          <w:rFonts w:ascii="Times New Roman" w:hAnsi="Times New Roman" w:cs="Times New Roman"/>
        </w:rPr>
      </w:pPr>
      <w:r w:rsidRPr="005141D2">
        <w:rPr>
          <w:rFonts w:ascii="Times New Roman" w:hAnsi="Times New Roman" w:cs="Times New Roman"/>
        </w:rPr>
        <w:t xml:space="preserve">… </w:t>
      </w:r>
      <w:r w:rsidRPr="00BC548C">
        <w:rPr>
          <w:rFonts w:ascii="Times New Roman" w:hAnsi="Times New Roman" w:cs="Times New Roman"/>
        </w:rPr>
        <w:t>bestimmen die Anzahl der Fehlklassifikationen eines einstufigen Entscheidungsbaums und nutzen diese zum Vergleich unterschiedlicher Entscheidungsbäume.</w:t>
      </w:r>
    </w:p>
    <w:p w:rsidR="005141D2" w:rsidRPr="005141D2" w:rsidRDefault="005141D2" w:rsidP="005141D2">
      <w:pPr>
        <w:rPr>
          <w:rFonts w:ascii="Times New Roman" w:hAnsi="Times New Roman" w:cs="Times New Roman"/>
        </w:rPr>
      </w:pPr>
      <w:r w:rsidRPr="005141D2">
        <w:rPr>
          <w:rFonts w:ascii="Times New Roman" w:hAnsi="Times New Roman" w:cs="Times New Roman"/>
        </w:rPr>
        <w:t xml:space="preserve">… </w:t>
      </w:r>
      <w:r w:rsidRPr="00BC548C">
        <w:rPr>
          <w:rFonts w:ascii="Times New Roman" w:hAnsi="Times New Roman" w:cs="Times New Roman"/>
        </w:rPr>
        <w:t>erstellen und vergleichen einstufige datenbasierte Entscheidungsbäume mit unterschiedlichen Prädiktorvariablen</w:t>
      </w:r>
      <w:r w:rsidR="00E526B5">
        <w:rPr>
          <w:rFonts w:ascii="Times New Roman" w:hAnsi="Times New Roman" w:cs="Times New Roman"/>
        </w:rPr>
        <w:t xml:space="preserve"> </w:t>
      </w:r>
      <w:r w:rsidR="00E526B5" w:rsidRPr="00E526B5">
        <w:rPr>
          <w:rFonts w:ascii="Times New Roman" w:hAnsi="Times New Roman" w:cs="Times New Roman"/>
        </w:rPr>
        <w:t>anhand ihrer Fehlklassifikationen</w:t>
      </w:r>
      <w:r w:rsidR="00E526B5">
        <w:t>.</w:t>
      </w:r>
    </w:p>
    <w:p w:rsidR="003A4831" w:rsidRPr="00BC548C" w:rsidRDefault="003A4831" w:rsidP="003A4831">
      <w:pPr>
        <w:pBdr>
          <w:left w:val="none" w:sz="4" w:space="0" w:color="000000"/>
        </w:pBdr>
        <w:rPr>
          <w:rFonts w:ascii="Times New Roman" w:hAnsi="Times New Roman" w:cs="Times New Roman"/>
          <w:b/>
        </w:rPr>
      </w:pPr>
      <w:r w:rsidRPr="00BC548C">
        <w:rPr>
          <w:rFonts w:ascii="Times New Roman" w:hAnsi="Times New Roman" w:cs="Times New Roman"/>
          <w:b/>
        </w:rPr>
        <w:t>Lernziele in Bezug auf das digitale Tool CODAP</w:t>
      </w:r>
    </w:p>
    <w:p w:rsidR="003A4831" w:rsidRPr="00BC548C" w:rsidRDefault="003A4831" w:rsidP="003A4831">
      <w:pPr>
        <w:pBdr>
          <w:left w:val="none" w:sz="4" w:space="0" w:color="000000"/>
        </w:pBdr>
        <w:rPr>
          <w:rFonts w:ascii="Times New Roman" w:hAnsi="Times New Roman" w:cs="Times New Roman"/>
        </w:rPr>
      </w:pPr>
      <w:r w:rsidRPr="00BC548C">
        <w:rPr>
          <w:rFonts w:ascii="Times New Roman" w:hAnsi="Times New Roman" w:cs="Times New Roman"/>
        </w:rPr>
        <w:t xml:space="preserve">Die </w:t>
      </w:r>
      <w:proofErr w:type="spellStart"/>
      <w:r w:rsidRPr="00BC548C">
        <w:rPr>
          <w:rFonts w:ascii="Times New Roman" w:hAnsi="Times New Roman" w:cs="Times New Roman"/>
        </w:rPr>
        <w:t>SuS</w:t>
      </w:r>
      <w:proofErr w:type="spellEnd"/>
      <w:r w:rsidRPr="00BC548C">
        <w:rPr>
          <w:rFonts w:ascii="Times New Roman" w:hAnsi="Times New Roman" w:cs="Times New Roman"/>
        </w:rPr>
        <w:t xml:space="preserve"> … </w:t>
      </w:r>
    </w:p>
    <w:p w:rsidR="005141D2" w:rsidRPr="005141D2" w:rsidRDefault="005141D2" w:rsidP="005141D2">
      <w:pPr>
        <w:rPr>
          <w:rFonts w:ascii="Times New Roman" w:hAnsi="Times New Roman" w:cs="Times New Roman"/>
        </w:rPr>
      </w:pPr>
      <w:r w:rsidRPr="005141D2">
        <w:rPr>
          <w:rFonts w:ascii="Times New Roman" w:hAnsi="Times New Roman" w:cs="Times New Roman"/>
        </w:rPr>
        <w:t xml:space="preserve">… </w:t>
      </w:r>
      <w:r w:rsidRPr="00BC548C">
        <w:rPr>
          <w:rFonts w:ascii="Times New Roman" w:hAnsi="Times New Roman" w:cs="Times New Roman"/>
        </w:rPr>
        <w:t>erstellen einstufige Entscheidungsbäume in CODAP, indem sie</w:t>
      </w:r>
    </w:p>
    <w:p w:rsidR="00AD05C6" w:rsidRDefault="00AD05C6" w:rsidP="005141D2">
      <w:pPr>
        <w:pStyle w:val="Listenabsatz"/>
        <w:numPr>
          <w:ilvl w:val="0"/>
          <w:numId w:val="15"/>
        </w:numPr>
        <w:rPr>
          <w:rFonts w:ascii="Times New Roman" w:hAnsi="Times New Roman" w:cs="Times New Roman"/>
          <w:sz w:val="22"/>
          <w:szCs w:val="22"/>
        </w:rPr>
      </w:pPr>
      <w:r>
        <w:rPr>
          <w:rFonts w:ascii="Times New Roman" w:hAnsi="Times New Roman" w:cs="Times New Roman"/>
          <w:sz w:val="22"/>
          <w:szCs w:val="22"/>
        </w:rPr>
        <w:t>die Zielvariable festlegen,</w:t>
      </w:r>
    </w:p>
    <w:p w:rsidR="005141D2" w:rsidRPr="00D57623" w:rsidRDefault="005141D2" w:rsidP="005141D2">
      <w:pPr>
        <w:pStyle w:val="Listenabsatz"/>
        <w:numPr>
          <w:ilvl w:val="0"/>
          <w:numId w:val="15"/>
        </w:numPr>
        <w:rPr>
          <w:rFonts w:ascii="Times New Roman" w:hAnsi="Times New Roman" w:cs="Times New Roman"/>
          <w:sz w:val="22"/>
          <w:szCs w:val="22"/>
        </w:rPr>
      </w:pPr>
      <w:r w:rsidRPr="00D57623">
        <w:rPr>
          <w:rFonts w:ascii="Times New Roman" w:hAnsi="Times New Roman" w:cs="Times New Roman"/>
          <w:sz w:val="22"/>
          <w:szCs w:val="22"/>
        </w:rPr>
        <w:t xml:space="preserve">eine Prädiktorvariable für einen Datensplit </w:t>
      </w:r>
      <w:proofErr w:type="gramStart"/>
      <w:r w:rsidRPr="00D57623">
        <w:rPr>
          <w:rFonts w:ascii="Times New Roman" w:hAnsi="Times New Roman" w:cs="Times New Roman"/>
          <w:sz w:val="22"/>
          <w:szCs w:val="22"/>
        </w:rPr>
        <w:t>auswählen</w:t>
      </w:r>
      <w:proofErr w:type="gramEnd"/>
      <w:r w:rsidRPr="00D57623">
        <w:rPr>
          <w:rFonts w:ascii="Times New Roman" w:hAnsi="Times New Roman" w:cs="Times New Roman"/>
          <w:sz w:val="22"/>
          <w:szCs w:val="22"/>
        </w:rPr>
        <w:t xml:space="preserve"> und </w:t>
      </w:r>
    </w:p>
    <w:p w:rsidR="005141D2" w:rsidRPr="00D57623" w:rsidRDefault="005141D2" w:rsidP="005141D2">
      <w:pPr>
        <w:pStyle w:val="Listenabsatz"/>
        <w:numPr>
          <w:ilvl w:val="0"/>
          <w:numId w:val="15"/>
        </w:numPr>
        <w:rPr>
          <w:rFonts w:ascii="Times New Roman" w:hAnsi="Times New Roman" w:cs="Times New Roman"/>
          <w:sz w:val="22"/>
          <w:szCs w:val="22"/>
        </w:rPr>
      </w:pPr>
      <w:r w:rsidRPr="00D57623">
        <w:rPr>
          <w:rFonts w:ascii="Times New Roman" w:hAnsi="Times New Roman" w:cs="Times New Roman"/>
          <w:sz w:val="22"/>
          <w:szCs w:val="22"/>
        </w:rPr>
        <w:t>anhand der Häufigkeitsverteilungen der Zielvariable Mehrheitsentscheidungen für die entstandenen Teildatensätze treffen.</w:t>
      </w:r>
      <w:r w:rsidR="00BC548C" w:rsidRPr="00D57623">
        <w:rPr>
          <w:rFonts w:ascii="Times New Roman" w:hAnsi="Times New Roman" w:cs="Times New Roman"/>
          <w:sz w:val="22"/>
          <w:szCs w:val="22"/>
        </w:rPr>
        <w:br/>
      </w:r>
      <w:r w:rsidRPr="00D57623">
        <w:rPr>
          <w:rFonts w:ascii="Times New Roman" w:hAnsi="Times New Roman" w:cs="Times New Roman"/>
          <w:sz w:val="22"/>
          <w:szCs w:val="22"/>
        </w:rPr>
        <w:t xml:space="preserve"> </w:t>
      </w:r>
    </w:p>
    <w:p w:rsidR="00BC548C" w:rsidRPr="00D57623" w:rsidRDefault="005141D2" w:rsidP="005141D2">
      <w:pPr>
        <w:rPr>
          <w:rFonts w:ascii="Times New Roman" w:hAnsi="Times New Roman" w:cs="Times New Roman"/>
        </w:rPr>
      </w:pPr>
      <w:r w:rsidRPr="00D57623">
        <w:rPr>
          <w:rFonts w:ascii="Times New Roman" w:hAnsi="Times New Roman" w:cs="Times New Roman"/>
        </w:rPr>
        <w:t>… interpretieren die Darstellung eines Entscheidungsbaums in CODAP, indem sie</w:t>
      </w:r>
    </w:p>
    <w:p w:rsidR="005141D2" w:rsidRPr="00D57623" w:rsidRDefault="005141D2" w:rsidP="00BC548C">
      <w:pPr>
        <w:pStyle w:val="Listenabsatz"/>
        <w:numPr>
          <w:ilvl w:val="0"/>
          <w:numId w:val="17"/>
        </w:numPr>
        <w:rPr>
          <w:rFonts w:ascii="Times New Roman" w:hAnsi="Times New Roman" w:cs="Times New Roman"/>
          <w:sz w:val="22"/>
          <w:szCs w:val="22"/>
        </w:rPr>
      </w:pPr>
      <w:r w:rsidRPr="00D57623">
        <w:rPr>
          <w:rFonts w:ascii="Times New Roman" w:hAnsi="Times New Roman" w:cs="Times New Roman"/>
          <w:sz w:val="22"/>
          <w:szCs w:val="22"/>
        </w:rPr>
        <w:t xml:space="preserve">Häufigkeitsverteilungen der Zielvariable ablesen, </w:t>
      </w:r>
    </w:p>
    <w:p w:rsidR="005141D2" w:rsidRPr="00D57623" w:rsidRDefault="005141D2" w:rsidP="005141D2">
      <w:pPr>
        <w:pStyle w:val="Listenabsatz"/>
        <w:numPr>
          <w:ilvl w:val="0"/>
          <w:numId w:val="16"/>
        </w:numPr>
        <w:rPr>
          <w:rFonts w:ascii="Times New Roman" w:hAnsi="Times New Roman" w:cs="Times New Roman"/>
          <w:sz w:val="22"/>
          <w:szCs w:val="22"/>
        </w:rPr>
      </w:pPr>
      <w:r w:rsidRPr="00D57623">
        <w:rPr>
          <w:rFonts w:ascii="Times New Roman" w:hAnsi="Times New Roman" w:cs="Times New Roman"/>
          <w:sz w:val="22"/>
          <w:szCs w:val="22"/>
        </w:rPr>
        <w:t xml:space="preserve">Richtig Positive, Richtig Negative, Falsch Positive und Falsch Negative unterscheiden und </w:t>
      </w:r>
    </w:p>
    <w:p w:rsidR="005141D2" w:rsidRPr="00D57623" w:rsidRDefault="005141D2" w:rsidP="005141D2">
      <w:pPr>
        <w:pStyle w:val="Listenabsatz"/>
        <w:numPr>
          <w:ilvl w:val="0"/>
          <w:numId w:val="16"/>
        </w:numPr>
        <w:rPr>
          <w:rFonts w:ascii="Times New Roman" w:hAnsi="Times New Roman" w:cs="Times New Roman"/>
          <w:sz w:val="22"/>
          <w:szCs w:val="22"/>
        </w:rPr>
      </w:pPr>
      <w:r w:rsidRPr="00D57623">
        <w:rPr>
          <w:rFonts w:ascii="Times New Roman" w:hAnsi="Times New Roman" w:cs="Times New Roman"/>
          <w:sz w:val="22"/>
          <w:szCs w:val="22"/>
        </w:rPr>
        <w:t xml:space="preserve">die Anzahl der Fehlklassifikationen </w:t>
      </w:r>
      <w:proofErr w:type="gramStart"/>
      <w:r w:rsidRPr="00D57623">
        <w:rPr>
          <w:rFonts w:ascii="Times New Roman" w:hAnsi="Times New Roman" w:cs="Times New Roman"/>
          <w:sz w:val="22"/>
          <w:szCs w:val="22"/>
        </w:rPr>
        <w:t>bestimmen</w:t>
      </w:r>
      <w:proofErr w:type="gramEnd"/>
      <w:r w:rsidRPr="00D57623">
        <w:rPr>
          <w:rFonts w:ascii="Times New Roman" w:hAnsi="Times New Roman" w:cs="Times New Roman"/>
          <w:sz w:val="22"/>
          <w:szCs w:val="22"/>
        </w:rPr>
        <w:t>.</w:t>
      </w:r>
    </w:p>
    <w:p w:rsidR="005141D2" w:rsidRPr="00BC548C" w:rsidRDefault="005141D2" w:rsidP="005141D2">
      <w:pPr>
        <w:pStyle w:val="Listenabsatz"/>
        <w:rPr>
          <w:rFonts w:ascii="Times New Roman" w:hAnsi="Times New Roman" w:cs="Times New Roman"/>
        </w:rPr>
      </w:pPr>
    </w:p>
    <w:p w:rsidR="005141D2" w:rsidRPr="005141D2" w:rsidRDefault="005141D2" w:rsidP="005141D2">
      <w:pPr>
        <w:rPr>
          <w:rFonts w:ascii="Times New Roman" w:hAnsi="Times New Roman" w:cs="Times New Roman"/>
        </w:rPr>
      </w:pPr>
      <w:r w:rsidRPr="005141D2">
        <w:rPr>
          <w:rFonts w:ascii="Times New Roman" w:hAnsi="Times New Roman" w:cs="Times New Roman"/>
        </w:rPr>
        <w:t xml:space="preserve">… </w:t>
      </w:r>
      <w:r w:rsidRPr="00BC548C">
        <w:rPr>
          <w:rFonts w:ascii="Times New Roman" w:hAnsi="Times New Roman" w:cs="Times New Roman"/>
        </w:rPr>
        <w:t xml:space="preserve">lesen </w:t>
      </w:r>
      <w:r w:rsidR="00E526B5" w:rsidRPr="00D57623">
        <w:rPr>
          <w:rFonts w:ascii="Times New Roman" w:hAnsi="Times New Roman" w:cs="Times New Roman"/>
        </w:rPr>
        <w:t xml:space="preserve">Richtig Positive, Richtig Negative, Falsch Positive und Falsch Negative </w:t>
      </w:r>
      <w:r w:rsidRPr="00BC548C">
        <w:rPr>
          <w:rFonts w:ascii="Times New Roman" w:hAnsi="Times New Roman" w:cs="Times New Roman"/>
        </w:rPr>
        <w:t>in der Konfusionsmatrix ab.</w:t>
      </w:r>
    </w:p>
    <w:p w:rsidR="003A4831" w:rsidRPr="00BC548C" w:rsidRDefault="00BC548C" w:rsidP="00BC548C">
      <w:pPr>
        <w:pBdr>
          <w:left w:val="none" w:sz="4" w:space="0" w:color="000000"/>
        </w:pBdr>
        <w:rPr>
          <w:rFonts w:ascii="Times New Roman" w:hAnsi="Times New Roman" w:cs="Times New Roman"/>
          <w:b/>
          <w:sz w:val="32"/>
        </w:rPr>
      </w:pPr>
      <w:proofErr w:type="spellStart"/>
      <w:r w:rsidRPr="00BC548C">
        <w:rPr>
          <w:rFonts w:ascii="Times New Roman" w:hAnsi="Times New Roman" w:cs="Times New Roman"/>
          <w:b/>
          <w:sz w:val="32"/>
        </w:rPr>
        <w:t>Verlausplan</w:t>
      </w:r>
      <w:proofErr w:type="spellEnd"/>
      <w:r w:rsidRPr="00BC548C">
        <w:rPr>
          <w:rFonts w:ascii="Times New Roman" w:hAnsi="Times New Roman" w:cs="Times New Roman"/>
          <w:b/>
          <w:sz w:val="32"/>
        </w:rPr>
        <w:t>:</w:t>
      </w:r>
    </w:p>
    <w:tbl>
      <w:tblPr>
        <w:tblStyle w:val="Tabellenraster"/>
        <w:tblpPr w:leftFromText="141" w:rightFromText="141" w:vertAnchor="text" w:tblpY="1"/>
        <w:tblW w:w="12753" w:type="dxa"/>
        <w:tblLayout w:type="fixed"/>
        <w:tblLook w:val="06A0" w:firstRow="1" w:lastRow="0" w:firstColumn="1" w:lastColumn="0" w:noHBand="1" w:noVBand="1"/>
      </w:tblPr>
      <w:tblGrid>
        <w:gridCol w:w="1555"/>
        <w:gridCol w:w="9497"/>
        <w:gridCol w:w="1701"/>
      </w:tblGrid>
      <w:tr w:rsidR="003A4831" w:rsidRPr="00BC548C" w:rsidTr="00B8206C">
        <w:tc>
          <w:tcPr>
            <w:tcW w:w="1555" w:type="dxa"/>
          </w:tcPr>
          <w:p w:rsidR="003A4831" w:rsidRPr="00BC548C" w:rsidRDefault="003A4831" w:rsidP="00B8206C">
            <w:pPr>
              <w:spacing w:line="259" w:lineRule="auto"/>
              <w:jc w:val="both"/>
              <w:rPr>
                <w:rFonts w:ascii="Times New Roman" w:hAnsi="Times New Roman" w:cs="Times New Roman"/>
                <w:b/>
              </w:rPr>
            </w:pPr>
            <w:r w:rsidRPr="00BC548C">
              <w:rPr>
                <w:rFonts w:ascii="Times New Roman" w:hAnsi="Times New Roman" w:cs="Times New Roman"/>
                <w:b/>
              </w:rPr>
              <w:t>Phase</w:t>
            </w:r>
          </w:p>
        </w:tc>
        <w:tc>
          <w:tcPr>
            <w:tcW w:w="9497" w:type="dxa"/>
          </w:tcPr>
          <w:p w:rsidR="003A4831" w:rsidRPr="00BC548C" w:rsidRDefault="003A4831" w:rsidP="00B8206C">
            <w:pPr>
              <w:spacing w:line="259" w:lineRule="auto"/>
              <w:jc w:val="both"/>
              <w:rPr>
                <w:rFonts w:ascii="Times New Roman" w:hAnsi="Times New Roman" w:cs="Times New Roman"/>
                <w:b/>
              </w:rPr>
            </w:pPr>
            <w:r w:rsidRPr="00BC548C">
              <w:rPr>
                <w:rFonts w:ascii="Times New Roman" w:hAnsi="Times New Roman" w:cs="Times New Roman"/>
                <w:b/>
              </w:rPr>
              <w:t>Inhalt</w:t>
            </w:r>
          </w:p>
        </w:tc>
        <w:tc>
          <w:tcPr>
            <w:tcW w:w="1701" w:type="dxa"/>
          </w:tcPr>
          <w:p w:rsidR="003A4831" w:rsidRPr="00BC548C" w:rsidRDefault="003A4831" w:rsidP="00B8206C">
            <w:pPr>
              <w:spacing w:line="259" w:lineRule="auto"/>
              <w:rPr>
                <w:rFonts w:ascii="Times New Roman" w:hAnsi="Times New Roman" w:cs="Times New Roman"/>
                <w:b/>
              </w:rPr>
            </w:pPr>
            <w:r w:rsidRPr="00BC548C">
              <w:rPr>
                <w:rFonts w:ascii="Times New Roman" w:hAnsi="Times New Roman" w:cs="Times New Roman"/>
                <w:b/>
              </w:rPr>
              <w:t>Sozialform &amp; Material</w:t>
            </w:r>
          </w:p>
        </w:tc>
      </w:tr>
      <w:tr w:rsidR="003A4831" w:rsidRPr="00BC548C" w:rsidTr="00B8206C">
        <w:trPr>
          <w:trHeight w:val="1830"/>
        </w:trPr>
        <w:tc>
          <w:tcPr>
            <w:tcW w:w="1555" w:type="dxa"/>
          </w:tcPr>
          <w:p w:rsidR="003A4831" w:rsidRPr="00BC548C" w:rsidRDefault="003A4831" w:rsidP="00B8206C">
            <w:pPr>
              <w:spacing w:line="259" w:lineRule="auto"/>
              <w:jc w:val="both"/>
              <w:rPr>
                <w:rFonts w:ascii="Times New Roman" w:hAnsi="Times New Roman" w:cs="Times New Roman"/>
              </w:rPr>
            </w:pPr>
            <w:r w:rsidRPr="00BC548C">
              <w:rPr>
                <w:rFonts w:ascii="Times New Roman" w:hAnsi="Times New Roman" w:cs="Times New Roman"/>
                <w:b/>
              </w:rPr>
              <w:t xml:space="preserve">Einführung </w:t>
            </w:r>
          </w:p>
          <w:p w:rsidR="003A4831" w:rsidRPr="00BC548C" w:rsidRDefault="003A4831" w:rsidP="00B8206C">
            <w:pPr>
              <w:spacing w:line="259" w:lineRule="auto"/>
              <w:jc w:val="both"/>
              <w:rPr>
                <w:rFonts w:ascii="Times New Roman" w:hAnsi="Times New Roman" w:cs="Times New Roman"/>
              </w:rPr>
            </w:pPr>
            <w:r w:rsidRPr="00BC548C">
              <w:rPr>
                <w:rFonts w:ascii="Times New Roman" w:hAnsi="Times New Roman" w:cs="Times New Roman"/>
              </w:rPr>
              <w:t>(10 min)</w:t>
            </w:r>
          </w:p>
        </w:tc>
        <w:tc>
          <w:tcPr>
            <w:tcW w:w="9497" w:type="dxa"/>
          </w:tcPr>
          <w:p w:rsidR="00BC548C"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Zweck der Phase</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 xml:space="preserve">Die </w:t>
            </w:r>
            <w:proofErr w:type="spellStart"/>
            <w:r w:rsidRPr="00BC548C">
              <w:rPr>
                <w:rFonts w:ascii="Times New Roman" w:eastAsia="Times New Roman" w:hAnsi="Times New Roman" w:cs="Times New Roman"/>
                <w:lang w:eastAsia="de-DE"/>
              </w:rPr>
              <w:t>SuS</w:t>
            </w:r>
            <w:proofErr w:type="spellEnd"/>
            <w:r w:rsidRPr="00BC548C">
              <w:rPr>
                <w:rFonts w:ascii="Times New Roman" w:eastAsia="Times New Roman" w:hAnsi="Times New Roman" w:cs="Times New Roman"/>
                <w:lang w:eastAsia="de-DE"/>
              </w:rPr>
              <w:t xml:space="preserve"> übertragen das aus Phase 2 bekannte Vorgehen zum Erstellen und Bewerten einstufiger Entscheidungsbäume auf CODAP und lernen die dafür benötigten Basisfunktionen des Tools kennen.</w:t>
            </w:r>
          </w:p>
          <w:p w:rsidR="00BC548C"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Aktion</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Die Lehrkraft führt im Unterrichtsgespräch anhand eines einstufigen Entscheidungsbaums in die grundlegenden Funktionen von CODAP und Arbor ein. Dabei wird jeweils der Bezug zum Vorgehen mit den Datenkarten aus Phase 2 hergestellt: Eine Prädiktorvariable wird für einen Datensplit ausgewählt, die entstehenden Teildatensätze werden betrachtet und für die Blattknoten Mehrheitsentscheidungen getroffen.</w:t>
            </w:r>
          </w:p>
          <w:p w:rsidR="00BC548C" w:rsidRPr="00BC548C" w:rsidRDefault="00BC548C" w:rsidP="00BC548C">
            <w:pPr>
              <w:spacing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lang w:eastAsia="de-DE"/>
              </w:rPr>
              <w:t>Anschließend werden die Bezeichnungen Positiv/Negativ sowie Richtig Positiv, Richtig Negativ, Falsch Positiv und Falsch Negativ eingeführt und deren Darstellung in der Konfusionsmatrix gemeinsam geklärt.</w:t>
            </w:r>
          </w:p>
          <w:p w:rsidR="00BC548C" w:rsidRPr="00BC548C" w:rsidRDefault="00BC548C" w:rsidP="00BC548C">
            <w:pPr>
              <w:spacing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lang w:eastAsia="de-DE"/>
              </w:rPr>
              <w:t>Die Einführung kann entsprechend dem „</w:t>
            </w:r>
            <w:proofErr w:type="spellStart"/>
            <w:r w:rsidRPr="00BC548C">
              <w:rPr>
                <w:rFonts w:ascii="Times New Roman" w:eastAsia="Times New Roman" w:hAnsi="Times New Roman" w:cs="Times New Roman"/>
                <w:lang w:eastAsia="de-DE"/>
              </w:rPr>
              <w:t>Video_Grundfunktionen_EB</w:t>
            </w:r>
            <w:proofErr w:type="spellEnd"/>
            <w:r w:rsidRPr="00BC548C">
              <w:rPr>
                <w:rFonts w:ascii="Times New Roman" w:eastAsia="Times New Roman" w:hAnsi="Times New Roman" w:cs="Times New Roman"/>
                <w:lang w:eastAsia="de-DE"/>
              </w:rPr>
              <w:t>“ durchgeführt oder alternativ durch ein Selbststudium des Videos ersetzt werden.</w:t>
            </w:r>
          </w:p>
          <w:p w:rsidR="003A4831"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Didaktischer Kommentar</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 xml:space="preserve">Der Wechsel zu CODAP führt zunächst keine neue Struktur von Entscheidungsbäumen ein: Die </w:t>
            </w:r>
            <w:proofErr w:type="spellStart"/>
            <w:r w:rsidRPr="00BC548C">
              <w:rPr>
                <w:rFonts w:ascii="Times New Roman" w:eastAsia="Times New Roman" w:hAnsi="Times New Roman" w:cs="Times New Roman"/>
                <w:lang w:eastAsia="de-DE"/>
              </w:rPr>
              <w:t>SuS</w:t>
            </w:r>
            <w:proofErr w:type="spellEnd"/>
            <w:r w:rsidRPr="00BC548C">
              <w:rPr>
                <w:rFonts w:ascii="Times New Roman" w:eastAsia="Times New Roman" w:hAnsi="Times New Roman" w:cs="Times New Roman"/>
                <w:lang w:eastAsia="de-DE"/>
              </w:rPr>
              <w:t xml:space="preserve"> arbeiten weiterhin mit einstufigen Bäumen und können das aus Phase 2 bekannte Vorgehen in der digitalen Darstellung wiedererkennen. Dadurch steht zunächst der Umgang mit dem neuen Tool im Mittelpunkt, bevor in Phase 4 erstmals mehrstufige Entscheidungsbäume </w:t>
            </w:r>
            <w:r w:rsidRPr="00BC548C">
              <w:rPr>
                <w:rFonts w:ascii="Times New Roman" w:eastAsia="Times New Roman" w:hAnsi="Times New Roman" w:cs="Times New Roman"/>
                <w:lang w:eastAsia="de-DE"/>
              </w:rPr>
              <w:lastRenderedPageBreak/>
              <w:t>selbstständig erstellt werden.</w:t>
            </w:r>
            <w:r>
              <w:rPr>
                <w:rFonts w:ascii="Times New Roman" w:eastAsia="Times New Roman" w:hAnsi="Times New Roman" w:cs="Times New Roman"/>
                <w:lang w:eastAsia="de-DE"/>
              </w:rPr>
              <w:br/>
            </w:r>
          </w:p>
        </w:tc>
        <w:tc>
          <w:tcPr>
            <w:tcW w:w="1701" w:type="dxa"/>
          </w:tcPr>
          <w:p w:rsidR="003A4831" w:rsidRPr="00BC548C" w:rsidRDefault="003A4831" w:rsidP="00B8206C">
            <w:pPr>
              <w:rPr>
                <w:rFonts w:ascii="Times New Roman" w:hAnsi="Times New Roman" w:cs="Times New Roman"/>
              </w:rPr>
            </w:pPr>
            <w:r w:rsidRPr="00BC548C">
              <w:rPr>
                <w:rFonts w:ascii="Times New Roman" w:hAnsi="Times New Roman" w:cs="Times New Roman"/>
              </w:rPr>
              <w:lastRenderedPageBreak/>
              <w:t>Plenum</w:t>
            </w:r>
          </w:p>
          <w:p w:rsidR="003A4831" w:rsidRPr="00BC548C" w:rsidRDefault="003A4831" w:rsidP="00B8206C">
            <w:pPr>
              <w:rPr>
                <w:rFonts w:ascii="Times New Roman" w:hAnsi="Times New Roman" w:cs="Times New Roman"/>
              </w:rPr>
            </w:pPr>
          </w:p>
          <w:p w:rsidR="003A4831" w:rsidRDefault="003A4831" w:rsidP="00B8206C">
            <w:pPr>
              <w:rPr>
                <w:rFonts w:ascii="Times New Roman" w:hAnsi="Times New Roman" w:cs="Times New Roman"/>
              </w:rPr>
            </w:pPr>
            <w:r w:rsidRPr="00BC548C">
              <w:rPr>
                <w:rFonts w:ascii="Times New Roman" w:hAnsi="Times New Roman" w:cs="Times New Roman"/>
              </w:rPr>
              <w:t>Video</w:t>
            </w:r>
            <w:r w:rsidR="00EE21D9">
              <w:rPr>
                <w:rFonts w:ascii="Times New Roman" w:hAnsi="Times New Roman" w:cs="Times New Roman"/>
              </w:rPr>
              <w:t>1</w:t>
            </w:r>
            <w:r w:rsidRPr="00BC548C">
              <w:rPr>
                <w:rFonts w:ascii="Times New Roman" w:hAnsi="Times New Roman" w:cs="Times New Roman"/>
              </w:rPr>
              <w:t>_</w:t>
            </w:r>
            <w:r w:rsidR="00EE21D9">
              <w:rPr>
                <w:rFonts w:ascii="Times New Roman" w:hAnsi="Times New Roman" w:cs="Times New Roman"/>
              </w:rPr>
              <w:t>Basisfunktionen_Entscheidungsbaum.mp4</w:t>
            </w:r>
          </w:p>
          <w:p w:rsidR="0034103D" w:rsidRDefault="0034103D" w:rsidP="00B8206C">
            <w:pPr>
              <w:rPr>
                <w:rFonts w:ascii="Times New Roman" w:hAnsi="Times New Roman" w:cs="Times New Roman"/>
              </w:rPr>
            </w:pPr>
          </w:p>
          <w:p w:rsidR="0034103D" w:rsidRPr="00BC548C" w:rsidRDefault="0034103D" w:rsidP="00B8206C">
            <w:pPr>
              <w:rPr>
                <w:rFonts w:ascii="Times New Roman" w:hAnsi="Times New Roman" w:cs="Times New Roman"/>
              </w:rPr>
            </w:pPr>
          </w:p>
        </w:tc>
      </w:tr>
      <w:tr w:rsidR="003A4831" w:rsidRPr="00BC548C" w:rsidTr="00B8206C">
        <w:trPr>
          <w:trHeight w:val="705"/>
        </w:trPr>
        <w:tc>
          <w:tcPr>
            <w:tcW w:w="1555" w:type="dxa"/>
          </w:tcPr>
          <w:p w:rsidR="003A4831" w:rsidRPr="00BC548C" w:rsidRDefault="003A4831" w:rsidP="00B8206C">
            <w:pPr>
              <w:spacing w:line="259" w:lineRule="auto"/>
              <w:jc w:val="both"/>
              <w:rPr>
                <w:rFonts w:ascii="Times New Roman" w:hAnsi="Times New Roman" w:cs="Times New Roman"/>
              </w:rPr>
            </w:pPr>
            <w:r w:rsidRPr="00BC548C">
              <w:rPr>
                <w:rFonts w:ascii="Times New Roman" w:hAnsi="Times New Roman" w:cs="Times New Roman"/>
                <w:b/>
              </w:rPr>
              <w:t>Arbeitsphase</w:t>
            </w:r>
            <w:r w:rsidRPr="00BC548C">
              <w:rPr>
                <w:rFonts w:ascii="Times New Roman" w:hAnsi="Times New Roman" w:cs="Times New Roman"/>
              </w:rPr>
              <w:t xml:space="preserve"> (20 min)</w:t>
            </w:r>
          </w:p>
        </w:tc>
        <w:tc>
          <w:tcPr>
            <w:tcW w:w="9497" w:type="dxa"/>
          </w:tcPr>
          <w:p w:rsidR="00BC548C"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Zweck der Phase</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 xml:space="preserve">Die </w:t>
            </w:r>
            <w:proofErr w:type="spellStart"/>
            <w:r w:rsidRPr="00BC548C">
              <w:rPr>
                <w:rFonts w:ascii="Times New Roman" w:eastAsia="Times New Roman" w:hAnsi="Times New Roman" w:cs="Times New Roman"/>
                <w:lang w:eastAsia="de-DE"/>
              </w:rPr>
              <w:t>SuS</w:t>
            </w:r>
            <w:proofErr w:type="spellEnd"/>
            <w:r w:rsidRPr="00BC548C">
              <w:rPr>
                <w:rFonts w:ascii="Times New Roman" w:eastAsia="Times New Roman" w:hAnsi="Times New Roman" w:cs="Times New Roman"/>
                <w:lang w:eastAsia="de-DE"/>
              </w:rPr>
              <w:t xml:space="preserve"> wenden die eingeführten CODAP-Funktionen selbstständig an und übertragen dabei das aus Phase 2 bekannte Erstellen und Bewerten einstufiger Entscheidungsbäume auf die digitale Umgebung.</w:t>
            </w:r>
          </w:p>
          <w:p w:rsidR="00BC548C"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Aktion</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 xml:space="preserve">Die </w:t>
            </w:r>
            <w:proofErr w:type="spellStart"/>
            <w:r w:rsidRPr="00BC548C">
              <w:rPr>
                <w:rFonts w:ascii="Times New Roman" w:eastAsia="Times New Roman" w:hAnsi="Times New Roman" w:cs="Times New Roman"/>
                <w:lang w:eastAsia="de-DE"/>
              </w:rPr>
              <w:t>SuS</w:t>
            </w:r>
            <w:proofErr w:type="spellEnd"/>
            <w:r w:rsidRPr="00BC548C">
              <w:rPr>
                <w:rFonts w:ascii="Times New Roman" w:eastAsia="Times New Roman" w:hAnsi="Times New Roman" w:cs="Times New Roman"/>
                <w:lang w:eastAsia="de-DE"/>
              </w:rPr>
              <w:t xml:space="preserve"> bearbeiten in Partnerarbeit das Arbeitsblatt „Arbeitsblatt_Phase3_Entscheidungsregeln“ in CODAP. Zunächst bauen sie einen vorgegebenen einstufigen Entscheidungsbaum nach, treffen die Mehrheitsentscheidungen und bestimmen die Anzahl der Fehlklassifikationen.</w:t>
            </w:r>
          </w:p>
          <w:p w:rsidR="00BC548C"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lang w:eastAsia="de-DE"/>
              </w:rPr>
              <w:t>Anschließend wählen sie drei weitere Prädiktorvariablen aus, erstellen die entsprechenden einstufigen Entscheidungsbäume und vergleichen diese anhand der Anzahl der Fehlklassifikationen. Bei Bedarf können sie die „</w:t>
            </w:r>
            <w:proofErr w:type="spellStart"/>
            <w:r w:rsidRPr="00BC548C">
              <w:rPr>
                <w:rFonts w:ascii="Times New Roman" w:eastAsia="Times New Roman" w:hAnsi="Times New Roman" w:cs="Times New Roman"/>
                <w:lang w:eastAsia="de-DE"/>
              </w:rPr>
              <w:t>Anleitung_EntscheidungsbaumPlugIn</w:t>
            </w:r>
            <w:proofErr w:type="spellEnd"/>
            <w:r w:rsidRPr="00BC548C">
              <w:rPr>
                <w:rFonts w:ascii="Times New Roman" w:eastAsia="Times New Roman" w:hAnsi="Times New Roman" w:cs="Times New Roman"/>
                <w:lang w:eastAsia="de-DE"/>
              </w:rPr>
              <w:t>“ zum Nachschlagen nutzen.</w:t>
            </w:r>
          </w:p>
          <w:p w:rsidR="00BC548C"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Didaktischer Kommentar</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 xml:space="preserve">Der erste vorgegebene Entscheidungsbaum ermöglicht eine angeleitete Anwendung der zuvor eingeführten Toolfunktionen. Anschließend wird die Unterstützung schrittweise reduziert: Die </w:t>
            </w:r>
            <w:proofErr w:type="spellStart"/>
            <w:r w:rsidRPr="00BC548C">
              <w:rPr>
                <w:rFonts w:ascii="Times New Roman" w:eastAsia="Times New Roman" w:hAnsi="Times New Roman" w:cs="Times New Roman"/>
                <w:lang w:eastAsia="de-DE"/>
              </w:rPr>
              <w:t>SuS</w:t>
            </w:r>
            <w:proofErr w:type="spellEnd"/>
            <w:r w:rsidRPr="00BC548C">
              <w:rPr>
                <w:rFonts w:ascii="Times New Roman" w:eastAsia="Times New Roman" w:hAnsi="Times New Roman" w:cs="Times New Roman"/>
                <w:lang w:eastAsia="de-DE"/>
              </w:rPr>
              <w:t xml:space="preserve"> wählen selbst Prädiktorvariablen aus und vergleichen die entstehenden Entscheidungsbäume. Dadurch wird der Umgang mit CODAP gefestigt, bevor in Phase 4 die deutlich offenere Konstruktion eines mehrstufigen Entscheidungsbaums folgt.</w:t>
            </w:r>
          </w:p>
          <w:p w:rsidR="003A4831" w:rsidRPr="00BC548C" w:rsidRDefault="003A4831" w:rsidP="00B8206C">
            <w:pPr>
              <w:spacing w:line="259" w:lineRule="auto"/>
              <w:jc w:val="both"/>
              <w:rPr>
                <w:rFonts w:ascii="Times New Roman" w:hAnsi="Times New Roman" w:cs="Times New Roman"/>
              </w:rPr>
            </w:pPr>
          </w:p>
        </w:tc>
        <w:tc>
          <w:tcPr>
            <w:tcW w:w="1701" w:type="dxa"/>
          </w:tcPr>
          <w:p w:rsidR="003A4831" w:rsidRPr="00BC548C" w:rsidRDefault="003A4831" w:rsidP="00B8206C">
            <w:pPr>
              <w:rPr>
                <w:rFonts w:ascii="Times New Roman" w:hAnsi="Times New Roman" w:cs="Times New Roman"/>
              </w:rPr>
            </w:pPr>
            <w:r w:rsidRPr="00BC548C">
              <w:rPr>
                <w:rFonts w:ascii="Times New Roman" w:hAnsi="Times New Roman" w:cs="Times New Roman"/>
              </w:rPr>
              <w:t>Partnerarbeit</w:t>
            </w:r>
          </w:p>
          <w:p w:rsidR="003A4831" w:rsidRPr="00BC548C" w:rsidRDefault="003A4831" w:rsidP="00B8206C">
            <w:pPr>
              <w:rPr>
                <w:rFonts w:ascii="Times New Roman" w:hAnsi="Times New Roman" w:cs="Times New Roman"/>
              </w:rPr>
            </w:pPr>
          </w:p>
          <w:p w:rsidR="0034103D" w:rsidRDefault="003A4831" w:rsidP="00B8206C">
            <w:pPr>
              <w:rPr>
                <w:rFonts w:ascii="Times New Roman" w:hAnsi="Times New Roman" w:cs="Times New Roman"/>
              </w:rPr>
            </w:pPr>
            <w:proofErr w:type="spellStart"/>
            <w:r w:rsidRPr="00BC548C">
              <w:rPr>
                <w:rFonts w:ascii="Times New Roman" w:hAnsi="Times New Roman" w:cs="Times New Roman"/>
              </w:rPr>
              <w:t>Anleitung_</w:t>
            </w:r>
            <w:r w:rsidR="0034103D">
              <w:rPr>
                <w:rFonts w:ascii="Times New Roman" w:hAnsi="Times New Roman" w:cs="Times New Roman"/>
              </w:rPr>
              <w:t>Basisfunktionen</w:t>
            </w:r>
            <w:proofErr w:type="spellEnd"/>
            <w:r w:rsidR="0034103D">
              <w:rPr>
                <w:rFonts w:ascii="Times New Roman" w:hAnsi="Times New Roman" w:cs="Times New Roman"/>
              </w:rPr>
              <w:t>_</w:t>
            </w:r>
          </w:p>
          <w:p w:rsidR="003A4831" w:rsidRPr="00BC548C" w:rsidRDefault="003A4831" w:rsidP="00B8206C">
            <w:pPr>
              <w:rPr>
                <w:rFonts w:ascii="Times New Roman" w:hAnsi="Times New Roman" w:cs="Times New Roman"/>
              </w:rPr>
            </w:pPr>
            <w:r w:rsidRPr="00BC548C">
              <w:rPr>
                <w:rFonts w:ascii="Times New Roman" w:hAnsi="Times New Roman" w:cs="Times New Roman"/>
              </w:rPr>
              <w:t>Entscheidungsbaum</w:t>
            </w:r>
          </w:p>
          <w:p w:rsidR="003A4831" w:rsidRPr="00BC548C" w:rsidRDefault="003A4831" w:rsidP="00B8206C">
            <w:pPr>
              <w:rPr>
                <w:rFonts w:ascii="Times New Roman" w:hAnsi="Times New Roman" w:cs="Times New Roman"/>
              </w:rPr>
            </w:pPr>
          </w:p>
          <w:p w:rsidR="003A4831" w:rsidRPr="00BC548C" w:rsidRDefault="003A4831" w:rsidP="00B8206C">
            <w:pPr>
              <w:rPr>
                <w:rFonts w:ascii="Times New Roman" w:hAnsi="Times New Roman" w:cs="Times New Roman"/>
              </w:rPr>
            </w:pPr>
            <w:r w:rsidRPr="00BC548C">
              <w:rPr>
                <w:rFonts w:ascii="Times New Roman" w:hAnsi="Times New Roman" w:cs="Times New Roman"/>
              </w:rPr>
              <w:t>Arbeitsblatt_</w:t>
            </w:r>
            <w:r w:rsidR="00BC548C">
              <w:rPr>
                <w:rFonts w:ascii="Times New Roman" w:hAnsi="Times New Roman" w:cs="Times New Roman"/>
              </w:rPr>
              <w:t>Phase3</w:t>
            </w:r>
            <w:r w:rsidRPr="00BC548C">
              <w:rPr>
                <w:rFonts w:ascii="Times New Roman" w:hAnsi="Times New Roman" w:cs="Times New Roman"/>
              </w:rPr>
              <w:t>_Entscheidungsregeln</w:t>
            </w:r>
          </w:p>
        </w:tc>
      </w:tr>
      <w:tr w:rsidR="003A4831" w:rsidRPr="00BC548C" w:rsidTr="00B8206C">
        <w:trPr>
          <w:trHeight w:val="1131"/>
        </w:trPr>
        <w:tc>
          <w:tcPr>
            <w:tcW w:w="1555" w:type="dxa"/>
          </w:tcPr>
          <w:p w:rsidR="003A4831" w:rsidRPr="00BC548C" w:rsidRDefault="003A4831" w:rsidP="00B8206C">
            <w:pPr>
              <w:jc w:val="both"/>
              <w:rPr>
                <w:rFonts w:ascii="Times New Roman" w:hAnsi="Times New Roman" w:cs="Times New Roman"/>
                <w:b/>
              </w:rPr>
            </w:pPr>
            <w:r w:rsidRPr="00BC548C">
              <w:rPr>
                <w:rFonts w:ascii="Times New Roman" w:hAnsi="Times New Roman" w:cs="Times New Roman"/>
                <w:b/>
              </w:rPr>
              <w:lastRenderedPageBreak/>
              <w:t>Besprechung</w:t>
            </w:r>
          </w:p>
          <w:p w:rsidR="003A4831" w:rsidRPr="00BC548C" w:rsidRDefault="003A4831" w:rsidP="00B8206C">
            <w:pPr>
              <w:jc w:val="both"/>
              <w:rPr>
                <w:rFonts w:ascii="Times New Roman" w:hAnsi="Times New Roman" w:cs="Times New Roman"/>
              </w:rPr>
            </w:pPr>
            <w:r w:rsidRPr="00BC548C">
              <w:rPr>
                <w:rFonts w:ascii="Times New Roman" w:hAnsi="Times New Roman" w:cs="Times New Roman"/>
              </w:rPr>
              <w:t>(15 min)</w:t>
            </w:r>
          </w:p>
        </w:tc>
        <w:tc>
          <w:tcPr>
            <w:tcW w:w="9497" w:type="dxa"/>
          </w:tcPr>
          <w:p w:rsidR="00BC548C" w:rsidRPr="00BC548C" w:rsidRDefault="00BC548C" w:rsidP="000A04AE">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Zweck der Phase</w:t>
            </w:r>
            <w:r w:rsidR="000A04AE">
              <w:rPr>
                <w:rFonts w:ascii="Times New Roman" w:eastAsia="Times New Roman" w:hAnsi="Times New Roman" w:cs="Times New Roman"/>
                <w:b/>
                <w:bCs/>
                <w:lang w:eastAsia="de-DE"/>
              </w:rPr>
              <w:t>:</w:t>
            </w:r>
            <w:r w:rsidR="000A04AE">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 xml:space="preserve">Die </w:t>
            </w:r>
            <w:proofErr w:type="spellStart"/>
            <w:r w:rsidRPr="00BC548C">
              <w:rPr>
                <w:rFonts w:ascii="Times New Roman" w:eastAsia="Times New Roman" w:hAnsi="Times New Roman" w:cs="Times New Roman"/>
                <w:lang w:eastAsia="de-DE"/>
              </w:rPr>
              <w:t>SuS</w:t>
            </w:r>
            <w:proofErr w:type="spellEnd"/>
            <w:r w:rsidRPr="00BC548C">
              <w:rPr>
                <w:rFonts w:ascii="Times New Roman" w:eastAsia="Times New Roman" w:hAnsi="Times New Roman" w:cs="Times New Roman"/>
                <w:lang w:eastAsia="de-DE"/>
              </w:rPr>
              <w:t xml:space="preserve"> sichern die Übertragung des aus Phase 2 bekannten Vorgehens auf CODAP und vergleichen die von ihnen untersuchten einstufigen Entscheidungsbäume anhand ihrer Fehlklassifikationen.</w:t>
            </w:r>
          </w:p>
          <w:p w:rsidR="00BC548C" w:rsidRPr="00BC548C" w:rsidRDefault="00BC548C" w:rsidP="000A04AE">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Aktion</w:t>
            </w:r>
            <w:r w:rsidR="000A04AE">
              <w:rPr>
                <w:rFonts w:ascii="Times New Roman" w:eastAsia="Times New Roman" w:hAnsi="Times New Roman" w:cs="Times New Roman"/>
                <w:b/>
                <w:bCs/>
                <w:lang w:eastAsia="de-DE"/>
              </w:rPr>
              <w:t>:</w:t>
            </w:r>
            <w:r w:rsidR="000A04AE">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Zunächst wird im Plenum anhand eines Schülerergebnisses das Vorgehen beim Erstellen und Bewerten eines einstufigen Entscheidungsbaums in CODAP nachvollzogen</w:t>
            </w:r>
            <w:r w:rsidR="00634205">
              <w:rPr>
                <w:rFonts w:ascii="Times New Roman" w:eastAsia="Times New Roman" w:hAnsi="Times New Roman" w:cs="Times New Roman"/>
                <w:lang w:eastAsia="de-DE"/>
              </w:rPr>
              <w:t>. Dabei werden die aus der vorherigen Phase bekannten Schritte rekapituliert:</w:t>
            </w:r>
          </w:p>
          <w:p w:rsidR="00BC548C" w:rsidRPr="00BC548C" w:rsidRDefault="00BC548C" w:rsidP="00BC548C">
            <w:pPr>
              <w:numPr>
                <w:ilvl w:val="0"/>
                <w:numId w:val="18"/>
              </w:numPr>
              <w:spacing w:before="100" w:beforeAutospacing="1" w:after="100" w:afterAutospacing="1"/>
              <w:ind w:left="1440"/>
              <w:rPr>
                <w:rFonts w:ascii="Times New Roman" w:eastAsia="Times New Roman" w:hAnsi="Times New Roman" w:cs="Times New Roman"/>
                <w:lang w:eastAsia="de-DE"/>
              </w:rPr>
            </w:pPr>
            <w:r w:rsidRPr="00BC548C">
              <w:rPr>
                <w:rFonts w:ascii="Times New Roman" w:eastAsia="Times New Roman" w:hAnsi="Times New Roman" w:cs="Times New Roman"/>
                <w:lang w:eastAsia="de-DE"/>
              </w:rPr>
              <w:t xml:space="preserve">Prädiktorvariable auswählen und Datensplit durchführen, </w:t>
            </w:r>
          </w:p>
          <w:p w:rsidR="00BC548C" w:rsidRPr="00BC548C" w:rsidRDefault="00BC548C" w:rsidP="00BC548C">
            <w:pPr>
              <w:numPr>
                <w:ilvl w:val="0"/>
                <w:numId w:val="18"/>
              </w:numPr>
              <w:spacing w:before="100" w:beforeAutospacing="1" w:after="100" w:afterAutospacing="1"/>
              <w:ind w:left="1440"/>
              <w:rPr>
                <w:rFonts w:ascii="Times New Roman" w:eastAsia="Times New Roman" w:hAnsi="Times New Roman" w:cs="Times New Roman"/>
                <w:lang w:eastAsia="de-DE"/>
              </w:rPr>
            </w:pPr>
            <w:r w:rsidRPr="00BC548C">
              <w:rPr>
                <w:rFonts w:ascii="Times New Roman" w:eastAsia="Times New Roman" w:hAnsi="Times New Roman" w:cs="Times New Roman"/>
                <w:lang w:eastAsia="de-DE"/>
              </w:rPr>
              <w:t xml:space="preserve">Mehrheitsentscheidungen für die entstandenen Teildatensätze treffen, </w:t>
            </w:r>
          </w:p>
          <w:p w:rsidR="00BC548C" w:rsidRPr="00BC548C" w:rsidRDefault="00BC548C" w:rsidP="00BC548C">
            <w:pPr>
              <w:numPr>
                <w:ilvl w:val="0"/>
                <w:numId w:val="18"/>
              </w:numPr>
              <w:spacing w:before="100" w:beforeAutospacing="1" w:after="100" w:afterAutospacing="1"/>
              <w:ind w:left="1440"/>
              <w:rPr>
                <w:rFonts w:ascii="Times New Roman" w:eastAsia="Times New Roman" w:hAnsi="Times New Roman" w:cs="Times New Roman"/>
                <w:lang w:eastAsia="de-DE"/>
              </w:rPr>
            </w:pPr>
            <w:r w:rsidRPr="00BC548C">
              <w:rPr>
                <w:rFonts w:ascii="Times New Roman" w:eastAsia="Times New Roman" w:hAnsi="Times New Roman" w:cs="Times New Roman"/>
                <w:lang w:eastAsia="de-DE"/>
              </w:rPr>
              <w:t xml:space="preserve">Fehlklassifikationen bestimmen. </w:t>
            </w:r>
          </w:p>
          <w:p w:rsidR="00BC548C" w:rsidRPr="00BC548C" w:rsidRDefault="00BC548C" w:rsidP="00BC548C">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lang w:eastAsia="de-DE"/>
              </w:rPr>
              <w:t xml:space="preserve">Anschließend tragen die Paare die von ihnen untersuchten Prädiktorvariablen und die jeweilige Anzahl der Fehlklassifikationen zusammen. So entsteht eine gemeinsame, nicht notwendigerweise vollständige Übersicht. Die untersuchten Entscheidungsbäume werden verglichen und es wird bestimmt, welcher der betrachteten Bäume die wenigsten Fehlklassifikationen aufweist. Die </w:t>
            </w:r>
            <w:proofErr w:type="spellStart"/>
            <w:r w:rsidRPr="00BC548C">
              <w:rPr>
                <w:rFonts w:ascii="Times New Roman" w:eastAsia="Times New Roman" w:hAnsi="Times New Roman" w:cs="Times New Roman"/>
                <w:lang w:eastAsia="de-DE"/>
              </w:rPr>
              <w:t>SuS</w:t>
            </w:r>
            <w:proofErr w:type="spellEnd"/>
            <w:r w:rsidRPr="00BC548C">
              <w:rPr>
                <w:rFonts w:ascii="Times New Roman" w:eastAsia="Times New Roman" w:hAnsi="Times New Roman" w:cs="Times New Roman"/>
                <w:lang w:eastAsia="de-DE"/>
              </w:rPr>
              <w:t xml:space="preserve"> können dabei auch erläutern, warum sie die jeweiligen Prädiktorvariablen ausgewählt haben.</w:t>
            </w:r>
          </w:p>
          <w:p w:rsidR="00BC548C" w:rsidRPr="00BC548C" w:rsidRDefault="00BC548C" w:rsidP="000A04AE">
            <w:pPr>
              <w:spacing w:before="100" w:beforeAutospacing="1" w:after="100" w:afterAutospacing="1"/>
              <w:rPr>
                <w:rFonts w:ascii="Times New Roman" w:eastAsia="Times New Roman" w:hAnsi="Times New Roman" w:cs="Times New Roman"/>
                <w:lang w:eastAsia="de-DE"/>
              </w:rPr>
            </w:pPr>
            <w:r w:rsidRPr="00BC548C">
              <w:rPr>
                <w:rFonts w:ascii="Times New Roman" w:eastAsia="Times New Roman" w:hAnsi="Times New Roman" w:cs="Times New Roman"/>
                <w:b/>
                <w:bCs/>
                <w:lang w:eastAsia="de-DE"/>
              </w:rPr>
              <w:t>Didaktischer Kommentar</w:t>
            </w:r>
            <w:r w:rsidR="000A04AE">
              <w:rPr>
                <w:rFonts w:ascii="Times New Roman" w:eastAsia="Times New Roman" w:hAnsi="Times New Roman" w:cs="Times New Roman"/>
                <w:b/>
                <w:bCs/>
                <w:lang w:eastAsia="de-DE"/>
              </w:rPr>
              <w:t>:</w:t>
            </w:r>
            <w:r w:rsidR="000A04AE">
              <w:rPr>
                <w:rFonts w:ascii="Times New Roman" w:eastAsia="Times New Roman" w:hAnsi="Times New Roman" w:cs="Times New Roman"/>
                <w:b/>
                <w:bCs/>
                <w:lang w:eastAsia="de-DE"/>
              </w:rPr>
              <w:br/>
            </w:r>
            <w:r w:rsidRPr="00BC548C">
              <w:rPr>
                <w:rFonts w:ascii="Times New Roman" w:eastAsia="Times New Roman" w:hAnsi="Times New Roman" w:cs="Times New Roman"/>
                <w:lang w:eastAsia="de-DE"/>
              </w:rPr>
              <w:t xml:space="preserve">Die gemeinsame Sicherung verdeutlicht noch einmal die Entsprechung zwischen dem händischen Vorgehen mit den Datenkarten und dessen Umsetzung in CODAP. Die bewusst unvollständige Übersicht ergibt sich daraus, dass die Paare unterschiedliche Prädiktorvariablen frei auswählen; eine systematische Untersuchung aller möglichen Splits ist an dieser Stelle noch nicht vorgesehen. Dadurch bleibt die Frage offen, </w:t>
            </w:r>
            <w:r w:rsidRPr="000A04AE">
              <w:rPr>
                <w:rFonts w:ascii="Times New Roman" w:eastAsia="Times New Roman" w:hAnsi="Times New Roman" w:cs="Times New Roman"/>
                <w:lang w:eastAsia="de-DE"/>
              </w:rPr>
              <w:t>wie Prädiktorvariablen systematisch ausgewählt werden können</w:t>
            </w:r>
            <w:r w:rsidRPr="00BC548C">
              <w:rPr>
                <w:rFonts w:ascii="Times New Roman" w:eastAsia="Times New Roman" w:hAnsi="Times New Roman" w:cs="Times New Roman"/>
                <w:lang w:eastAsia="de-DE"/>
              </w:rPr>
              <w:t>, die in den folgenden Phasen wieder aufgegriffen wird.</w:t>
            </w:r>
          </w:p>
          <w:p w:rsidR="003A4831" w:rsidRPr="00BC548C" w:rsidRDefault="003A4831" w:rsidP="00B8206C">
            <w:pPr>
              <w:jc w:val="both"/>
              <w:rPr>
                <w:rFonts w:ascii="Times New Roman" w:hAnsi="Times New Roman" w:cs="Times New Roman"/>
              </w:rPr>
            </w:pPr>
          </w:p>
        </w:tc>
        <w:tc>
          <w:tcPr>
            <w:tcW w:w="1701" w:type="dxa"/>
          </w:tcPr>
          <w:p w:rsidR="003A4831" w:rsidRPr="00BC548C" w:rsidRDefault="003A4831" w:rsidP="00B8206C">
            <w:pPr>
              <w:rPr>
                <w:rFonts w:ascii="Times New Roman" w:hAnsi="Times New Roman" w:cs="Times New Roman"/>
              </w:rPr>
            </w:pPr>
            <w:r w:rsidRPr="00BC548C">
              <w:rPr>
                <w:rFonts w:ascii="Times New Roman" w:hAnsi="Times New Roman" w:cs="Times New Roman"/>
              </w:rPr>
              <w:t>Plenum</w:t>
            </w:r>
          </w:p>
        </w:tc>
      </w:tr>
    </w:tbl>
    <w:p w:rsidR="003A4831" w:rsidRPr="00BC548C" w:rsidRDefault="003A4831" w:rsidP="003A4831">
      <w:pPr>
        <w:rPr>
          <w:rFonts w:ascii="Times New Roman" w:hAnsi="Times New Roman" w:cs="Times New Roman"/>
        </w:rPr>
      </w:pPr>
    </w:p>
    <w:p w:rsidR="00514114" w:rsidRPr="00BC548C" w:rsidRDefault="00514114">
      <w:pPr>
        <w:rPr>
          <w:rFonts w:ascii="Times New Roman" w:hAnsi="Times New Roman" w:cs="Times New Roman"/>
          <w:b/>
          <w:sz w:val="32"/>
        </w:rPr>
      </w:pPr>
    </w:p>
    <w:sectPr w:rsidR="00514114" w:rsidRPr="00BC548C"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AA1E62"/>
    <w:multiLevelType w:val="hybridMultilevel"/>
    <w:tmpl w:val="B0D45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A578DE"/>
    <w:multiLevelType w:val="multilevel"/>
    <w:tmpl w:val="7318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85C22B4"/>
    <w:multiLevelType w:val="hybridMultilevel"/>
    <w:tmpl w:val="F41205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8E353E"/>
    <w:multiLevelType w:val="hybridMultilevel"/>
    <w:tmpl w:val="A9221D48"/>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4F3C7321"/>
    <w:multiLevelType w:val="hybridMultilevel"/>
    <w:tmpl w:val="3D729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1EB598C"/>
    <w:multiLevelType w:val="hybridMultilevel"/>
    <w:tmpl w:val="2E329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47D0908"/>
    <w:multiLevelType w:val="multilevel"/>
    <w:tmpl w:val="7542C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415400"/>
    <w:multiLevelType w:val="hybridMultilevel"/>
    <w:tmpl w:val="77A8D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5E44F21"/>
    <w:multiLevelType w:val="multilevel"/>
    <w:tmpl w:val="F8A2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6032D5"/>
    <w:multiLevelType w:val="hybridMultilevel"/>
    <w:tmpl w:val="A094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7B4A36"/>
    <w:multiLevelType w:val="hybridMultilevel"/>
    <w:tmpl w:val="6B342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0"/>
  </w:num>
  <w:num w:numId="4">
    <w:abstractNumId w:val="3"/>
  </w:num>
  <w:num w:numId="5">
    <w:abstractNumId w:val="7"/>
  </w:num>
  <w:num w:numId="6">
    <w:abstractNumId w:val="5"/>
  </w:num>
  <w:num w:numId="7">
    <w:abstractNumId w:val="2"/>
  </w:num>
  <w:num w:numId="8">
    <w:abstractNumId w:val="9"/>
  </w:num>
  <w:num w:numId="9">
    <w:abstractNumId w:val="13"/>
  </w:num>
  <w:num w:numId="10">
    <w:abstractNumId w:val="10"/>
  </w:num>
  <w:num w:numId="11">
    <w:abstractNumId w:val="15"/>
  </w:num>
  <w:num w:numId="12">
    <w:abstractNumId w:val="11"/>
  </w:num>
  <w:num w:numId="13">
    <w:abstractNumId w:val="4"/>
  </w:num>
  <w:num w:numId="14">
    <w:abstractNumId w:val="14"/>
  </w:num>
  <w:num w:numId="15">
    <w:abstractNumId w:val="1"/>
  </w:num>
  <w:num w:numId="16">
    <w:abstractNumId w:val="16"/>
  </w:num>
  <w:num w:numId="17">
    <w:abstractNumId w:val="8"/>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0A04AE"/>
    <w:rsid w:val="00286B14"/>
    <w:rsid w:val="002D6297"/>
    <w:rsid w:val="0034103D"/>
    <w:rsid w:val="003A4831"/>
    <w:rsid w:val="00514114"/>
    <w:rsid w:val="005141D2"/>
    <w:rsid w:val="00634205"/>
    <w:rsid w:val="006A5814"/>
    <w:rsid w:val="00874D74"/>
    <w:rsid w:val="00AD05C6"/>
    <w:rsid w:val="00B013FB"/>
    <w:rsid w:val="00B12EC4"/>
    <w:rsid w:val="00BC548C"/>
    <w:rsid w:val="00D57623"/>
    <w:rsid w:val="00E526B5"/>
    <w:rsid w:val="00EE21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A4831"/>
  </w:style>
  <w:style w:type="paragraph" w:styleId="berschrift3">
    <w:name w:val="heading 3"/>
    <w:basedOn w:val="Standard"/>
    <w:link w:val="berschrift3Zchn"/>
    <w:uiPriority w:val="9"/>
    <w:qFormat/>
    <w:rsid w:val="006A5814"/>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paragraph" w:customStyle="1" w:styleId="pdq2pgselectionanchorcontainer">
    <w:name w:val="pdq2pg_selectionanchorcontainer"/>
    <w:basedOn w:val="Standard"/>
    <w:rsid w:val="005141D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5141D2"/>
    <w:rPr>
      <w:b/>
      <w:bCs/>
    </w:rPr>
  </w:style>
  <w:style w:type="paragraph" w:styleId="StandardWeb">
    <w:name w:val="Normal (Web)"/>
    <w:basedOn w:val="Standard"/>
    <w:uiPriority w:val="99"/>
    <w:semiHidden/>
    <w:unhideWhenUsed/>
    <w:rsid w:val="005141D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6A5814"/>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38186">
      <w:bodyDiv w:val="1"/>
      <w:marLeft w:val="0"/>
      <w:marRight w:val="0"/>
      <w:marTop w:val="0"/>
      <w:marBottom w:val="0"/>
      <w:divBdr>
        <w:top w:val="none" w:sz="0" w:space="0" w:color="auto"/>
        <w:left w:val="none" w:sz="0" w:space="0" w:color="auto"/>
        <w:bottom w:val="none" w:sz="0" w:space="0" w:color="auto"/>
        <w:right w:val="none" w:sz="0" w:space="0" w:color="auto"/>
      </w:divBdr>
      <w:divsChild>
        <w:div w:id="1257713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48600">
      <w:bodyDiv w:val="1"/>
      <w:marLeft w:val="0"/>
      <w:marRight w:val="0"/>
      <w:marTop w:val="0"/>
      <w:marBottom w:val="0"/>
      <w:divBdr>
        <w:top w:val="none" w:sz="0" w:space="0" w:color="auto"/>
        <w:left w:val="none" w:sz="0" w:space="0" w:color="auto"/>
        <w:bottom w:val="none" w:sz="0" w:space="0" w:color="auto"/>
        <w:right w:val="none" w:sz="0" w:space="0" w:color="auto"/>
      </w:divBdr>
      <w:divsChild>
        <w:div w:id="169179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631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281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5442938">
      <w:bodyDiv w:val="1"/>
      <w:marLeft w:val="0"/>
      <w:marRight w:val="0"/>
      <w:marTop w:val="0"/>
      <w:marBottom w:val="0"/>
      <w:divBdr>
        <w:top w:val="none" w:sz="0" w:space="0" w:color="auto"/>
        <w:left w:val="none" w:sz="0" w:space="0" w:color="auto"/>
        <w:bottom w:val="none" w:sz="0" w:space="0" w:color="auto"/>
        <w:right w:val="none" w:sz="0" w:space="0" w:color="auto"/>
      </w:divBdr>
    </w:div>
    <w:div w:id="452990781">
      <w:bodyDiv w:val="1"/>
      <w:marLeft w:val="0"/>
      <w:marRight w:val="0"/>
      <w:marTop w:val="0"/>
      <w:marBottom w:val="0"/>
      <w:divBdr>
        <w:top w:val="none" w:sz="0" w:space="0" w:color="auto"/>
        <w:left w:val="none" w:sz="0" w:space="0" w:color="auto"/>
        <w:bottom w:val="none" w:sz="0" w:space="0" w:color="auto"/>
        <w:right w:val="none" w:sz="0" w:space="0" w:color="auto"/>
      </w:divBdr>
    </w:div>
    <w:div w:id="1221938482">
      <w:bodyDiv w:val="1"/>
      <w:marLeft w:val="0"/>
      <w:marRight w:val="0"/>
      <w:marTop w:val="0"/>
      <w:marBottom w:val="0"/>
      <w:divBdr>
        <w:top w:val="none" w:sz="0" w:space="0" w:color="auto"/>
        <w:left w:val="none" w:sz="0" w:space="0" w:color="auto"/>
        <w:bottom w:val="none" w:sz="0" w:space="0" w:color="auto"/>
        <w:right w:val="none" w:sz="0" w:space="0" w:color="auto"/>
      </w:divBdr>
    </w:div>
    <w:div w:id="1290940042">
      <w:bodyDiv w:val="1"/>
      <w:marLeft w:val="0"/>
      <w:marRight w:val="0"/>
      <w:marTop w:val="0"/>
      <w:marBottom w:val="0"/>
      <w:divBdr>
        <w:top w:val="none" w:sz="0" w:space="0" w:color="auto"/>
        <w:left w:val="none" w:sz="0" w:space="0" w:color="auto"/>
        <w:bottom w:val="none" w:sz="0" w:space="0" w:color="auto"/>
        <w:right w:val="none" w:sz="0" w:space="0" w:color="auto"/>
      </w:divBdr>
      <w:divsChild>
        <w:div w:id="1704398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037420">
      <w:bodyDiv w:val="1"/>
      <w:marLeft w:val="0"/>
      <w:marRight w:val="0"/>
      <w:marTop w:val="0"/>
      <w:marBottom w:val="0"/>
      <w:divBdr>
        <w:top w:val="none" w:sz="0" w:space="0" w:color="auto"/>
        <w:left w:val="none" w:sz="0" w:space="0" w:color="auto"/>
        <w:bottom w:val="none" w:sz="0" w:space="0" w:color="auto"/>
        <w:right w:val="none" w:sz="0" w:space="0" w:color="auto"/>
      </w:divBdr>
      <w:divsChild>
        <w:div w:id="445347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00471">
          <w:blockQuote w:val="1"/>
          <w:marLeft w:val="720"/>
          <w:marRight w:val="720"/>
          <w:marTop w:val="100"/>
          <w:marBottom w:val="100"/>
          <w:divBdr>
            <w:top w:val="none" w:sz="0" w:space="0" w:color="auto"/>
            <w:left w:val="none" w:sz="0" w:space="0" w:color="auto"/>
            <w:bottom w:val="none" w:sz="0" w:space="0" w:color="auto"/>
            <w:right w:val="none" w:sz="0" w:space="0" w:color="auto"/>
          </w:divBdr>
        </w:div>
        <w:div w:id="383649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673404">
      <w:bodyDiv w:val="1"/>
      <w:marLeft w:val="0"/>
      <w:marRight w:val="0"/>
      <w:marTop w:val="0"/>
      <w:marBottom w:val="0"/>
      <w:divBdr>
        <w:top w:val="none" w:sz="0" w:space="0" w:color="auto"/>
        <w:left w:val="none" w:sz="0" w:space="0" w:color="auto"/>
        <w:bottom w:val="none" w:sz="0" w:space="0" w:color="auto"/>
        <w:right w:val="none" w:sz="0" w:space="0" w:color="auto"/>
      </w:divBdr>
      <w:divsChild>
        <w:div w:id="784352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5501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11</cp:revision>
  <dcterms:created xsi:type="dcterms:W3CDTF">2026-09-13T17:49:00Z</dcterms:created>
  <dcterms:modified xsi:type="dcterms:W3CDTF">2026-09-22T18:05:00Z</dcterms:modified>
</cp:coreProperties>
</file>